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E16" w:rsidRDefault="007E1E16" w:rsidP="007E1E16">
      <w:pPr>
        <w:pStyle w:val="consplustitle"/>
        <w:spacing w:before="0" w:beforeAutospacing="0" w:after="0" w:afterAutospacing="0" w:line="270" w:lineRule="atLeast"/>
        <w:rPr>
          <w:rFonts w:ascii="Arial" w:hAnsi="Arial" w:cs="Arial"/>
          <w:color w:val="171717"/>
          <w:sz w:val="17"/>
          <w:szCs w:val="17"/>
        </w:rPr>
      </w:pPr>
      <w:r>
        <w:rPr>
          <w:rStyle w:val="a3"/>
          <w:rFonts w:ascii="Arial" w:hAnsi="Arial" w:cs="Arial"/>
          <w:color w:val="171717"/>
          <w:sz w:val="17"/>
          <w:szCs w:val="17"/>
        </w:rPr>
        <w:t>Закон Российской Федерации от 28 декабря 2009 года № 381-ФЗ «Об основах государственного регулирования торговой деятельности в Российской Федерации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Style w:val="a3"/>
          <w:rFonts w:ascii="Arial" w:hAnsi="Arial" w:cs="Arial"/>
          <w:color w:val="171717"/>
          <w:sz w:val="17"/>
          <w:szCs w:val="17"/>
        </w:rPr>
        <w:t> </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Style w:val="a3"/>
          <w:rFonts w:ascii="Arial" w:hAnsi="Arial" w:cs="Arial"/>
          <w:color w:val="171717"/>
          <w:sz w:val="17"/>
          <w:szCs w:val="17"/>
        </w:rPr>
        <w:t> </w:t>
      </w:r>
      <w:r>
        <w:rPr>
          <w:rStyle w:val="a4"/>
          <w:rFonts w:ascii="Arial" w:hAnsi="Arial" w:cs="Arial"/>
          <w:color w:val="171717"/>
          <w:sz w:val="17"/>
          <w:szCs w:val="17"/>
        </w:rPr>
        <w:t>в ред. Федеральных законов от 23.12.2010 № 369-ФЗ, от 21.11.2011 № 327-ФЗ, от 30.12.2012 №318-ФЗ, от 28.12.2013 № 446-ФЗ, от 29.12.2014 № 485-ФЗ, от 31.12.2014 № 493-ФЗ</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 </w:t>
      </w:r>
    </w:p>
    <w:p w:rsidR="007E1E16" w:rsidRDefault="007E1E16" w:rsidP="007E1E16">
      <w:pPr>
        <w:pStyle w:val="consplustitle"/>
        <w:spacing w:before="0" w:beforeAutospacing="0" w:after="0" w:afterAutospacing="0" w:line="270" w:lineRule="atLeast"/>
        <w:rPr>
          <w:rFonts w:ascii="Arial" w:hAnsi="Arial" w:cs="Arial"/>
          <w:color w:val="171717"/>
          <w:sz w:val="17"/>
          <w:szCs w:val="17"/>
        </w:rPr>
      </w:pPr>
      <w:r>
        <w:rPr>
          <w:rStyle w:val="a3"/>
          <w:rFonts w:ascii="Arial" w:hAnsi="Arial" w:cs="Arial"/>
          <w:color w:val="171717"/>
          <w:sz w:val="17"/>
          <w:szCs w:val="17"/>
        </w:rPr>
        <w:t>Глава 1. ОБЩИЕ ПОЛОЖЕНИЯ</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 </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Style w:val="a3"/>
          <w:rFonts w:ascii="Arial" w:hAnsi="Arial" w:cs="Arial"/>
          <w:color w:val="171717"/>
          <w:sz w:val="17"/>
          <w:szCs w:val="17"/>
        </w:rPr>
        <w:t>Статья 1. Цели и сфера применения настоящего Федерального закона</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 </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2. Целями настоящего Федерального закона являются:</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 этом соблюдения прав и законных интересов населения;</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3. 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4. Положения настоящего Федерального закона не применяются к отношениям, связанным с организацией и осуществлением:</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1) внешнеторговой деятельности;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2) деятельности по проведению организованных торгов;</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3) деятельности по продаже товаров на розничных рынках;</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законами об обороте таких товаров.</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 </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Style w:val="a3"/>
          <w:rFonts w:ascii="Arial" w:hAnsi="Arial" w:cs="Arial"/>
          <w:color w:val="171717"/>
          <w:sz w:val="17"/>
          <w:szCs w:val="17"/>
        </w:rPr>
        <w:t>Статья 2. Основные понятия, используемые в настоящем Федеральном законе</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 </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Для целей настоящего Федерального закона используются следующие основные понятия:</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1) торговая деятельность (далее также - торговля) - вид предпринимательской деятельности, связанный с приобретением и продажей товаров;</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lastRenderedPageBreak/>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8) торговая сеть - совокупность двух и более торговых объектов, которые находятся под общим управлением, или совокупность двух и более торговых объектов, которые используются под единым коммерческим обозначением или иным средством индивидуализации;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 </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Style w:val="a3"/>
          <w:rFonts w:ascii="Arial" w:hAnsi="Arial" w:cs="Arial"/>
          <w:color w:val="171717"/>
          <w:sz w:val="17"/>
          <w:szCs w:val="17"/>
        </w:rPr>
        <w:t>Статья 3. Правовое регулирование отношений в области торговой деятельности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 </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1. Правовое регулирование отношений в области торговой деятельности осуществляется Гражданским кодексом Российской Федерации, настоящим Федеральным законом, Законом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законом от 30 декабря 2006 года N 271-ФЗ "О розничных рынках и о внесении изменений в Трудовой кодекс Российской Федерации".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 </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Style w:val="a3"/>
          <w:rFonts w:ascii="Arial" w:hAnsi="Arial" w:cs="Arial"/>
          <w:color w:val="171717"/>
          <w:sz w:val="17"/>
          <w:szCs w:val="17"/>
        </w:rPr>
        <w:t>Статья 4. Методы государственного регулирования торговой деятельности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 </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1. Государственное регулирование торговой деятельности осуществляется посредством:</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1) установления требований к ее организации и осуществлению;</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2) антимонопольного регулирования в этой области;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3) информационного обеспечения в этой области;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4) государственного контроля (надзора), муниципального контроля в этой области.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2. Не допускается применение не предусмотренных частью 1 настоящей статьи методов государственного регулирования торговой деятельности, за исключением случаев, установленных федеральными законами.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 </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Style w:val="a3"/>
          <w:rFonts w:ascii="Arial" w:hAnsi="Arial" w:cs="Arial"/>
          <w:color w:val="171717"/>
          <w:sz w:val="17"/>
          <w:szCs w:val="17"/>
        </w:rP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 </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lastRenderedPageBreak/>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1) обеспечение проведения государственной политики в области торговой деятельности;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2) утверждение методики расчета и порядка установления субъектами Российской Федерации нормативов минимальной обеспеченности населения площадью торговых объектов;</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3) утверждение методики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1) утверждение методических рекомендаций по разработке региональных программ развития торговли;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2) утверждение формы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порядка его формирования и порядка предоставления информации, содержащейся в торговом реестре;</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 </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Style w:val="a3"/>
          <w:rFonts w:ascii="Arial" w:hAnsi="Arial" w:cs="Arial"/>
          <w:color w:val="171717"/>
          <w:sz w:val="17"/>
          <w:szCs w:val="17"/>
        </w:rP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 </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1) реализация государственной политики в области торговой деятельности на территории субъекта Российской Федерации;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3) установление нормативов минимальной обеспеченности населения площадью торговых объектов для субъекта Российской Федерации;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6) иные предусмотренные настоящим Федеральным законом полномочия.</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lastRenderedPageBreak/>
        <w:t>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 </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Style w:val="a3"/>
          <w:rFonts w:ascii="Arial" w:hAnsi="Arial" w:cs="Arial"/>
          <w:color w:val="171717"/>
          <w:sz w:val="17"/>
          <w:szCs w:val="17"/>
        </w:rP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 </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3) распространение российского и иностранного опыта в области торговой деятельности;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4) предоставление необходимой информации для формирования и реализации государственной политики в области торговой деятельности;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5) подготовка для органов государственной власти и органов местного самоуправления предложений о совершенствовании торговой деятельности;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 </w:t>
      </w:r>
    </w:p>
    <w:p w:rsidR="007E1E16" w:rsidRDefault="007E1E16" w:rsidP="007E1E16">
      <w:pPr>
        <w:pStyle w:val="consplustitle"/>
        <w:spacing w:before="0" w:beforeAutospacing="0" w:after="0" w:afterAutospacing="0" w:line="270" w:lineRule="atLeast"/>
        <w:rPr>
          <w:rFonts w:ascii="Arial" w:hAnsi="Arial" w:cs="Arial"/>
          <w:color w:val="171717"/>
          <w:sz w:val="17"/>
          <w:szCs w:val="17"/>
        </w:rPr>
      </w:pPr>
      <w:r>
        <w:rPr>
          <w:rStyle w:val="a3"/>
          <w:rFonts w:ascii="Arial" w:hAnsi="Arial" w:cs="Arial"/>
          <w:color w:val="171717"/>
          <w:sz w:val="17"/>
          <w:szCs w:val="17"/>
        </w:rPr>
        <w:t>Глава 2. ТРЕБОВАНИЯ К ОРГАНИЗАЦИИ И ОСУЩЕСТВЛЕНИЮ</w:t>
      </w:r>
    </w:p>
    <w:p w:rsidR="007E1E16" w:rsidRDefault="007E1E16" w:rsidP="007E1E16">
      <w:pPr>
        <w:pStyle w:val="consplustitle"/>
        <w:spacing w:before="0" w:beforeAutospacing="0" w:after="0" w:afterAutospacing="0" w:line="270" w:lineRule="atLeast"/>
        <w:rPr>
          <w:rFonts w:ascii="Arial" w:hAnsi="Arial" w:cs="Arial"/>
          <w:color w:val="171717"/>
          <w:sz w:val="17"/>
          <w:szCs w:val="17"/>
        </w:rPr>
      </w:pPr>
      <w:r>
        <w:rPr>
          <w:rStyle w:val="a3"/>
          <w:rFonts w:ascii="Arial" w:hAnsi="Arial" w:cs="Arial"/>
          <w:color w:val="171717"/>
          <w:sz w:val="17"/>
          <w:szCs w:val="17"/>
        </w:rPr>
        <w:t>ТОРГОВОЙ ДЕЯТЕЛЬНОСТИ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Style w:val="a3"/>
          <w:rFonts w:ascii="Arial" w:hAnsi="Arial" w:cs="Arial"/>
          <w:color w:val="171717"/>
          <w:sz w:val="17"/>
          <w:szCs w:val="17"/>
        </w:rPr>
        <w:t> </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Style w:val="a3"/>
          <w:rFonts w:ascii="Arial" w:hAnsi="Arial" w:cs="Arial"/>
          <w:color w:val="171717"/>
          <w:sz w:val="17"/>
          <w:szCs w:val="17"/>
        </w:rP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 </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1) вид торговли (оптовая и (или) розничная торговля);</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3) способ торговли (с использованием торговых объектов и (или) без использования торговых объектов);</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lastRenderedPageBreak/>
        <w:t>4) специализацию торговли (универсальная торговля и (или) специализированная торговля);</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6) основания использования имущества при осуществлении торговой деятельности (право собственности и (или) иное законное основание);</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7) порядок и условия осуществления торговой деятельности, в том числе:</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а) ассортимент продаваемых товаров;</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б) режим работы;</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в) приемы и способы, с помощью которых осуществляется продажа товаров;</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г) количество, типы, модели технологического оборудования, инвентаря, используемых при осуществлении торговой деятельности;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д) способы доведения до покупателей информации о продавце, о предлагаемых для продажи товарах, об оказываемых услугах;</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8) цены на продаваемые товары;</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9) форму распространения рекламы в торговом объекте и в его витринах;</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10) условия заключения договоров купли-продажи товаров, договоров возмездного оказания услуг;</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11) иные порядок и условия осуществления торговой деятельности.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3. Указанные в пункте 7 части 2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5. В случае, если в течение тридцати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отдельные виды социально значимых продовольственных товаров первой необходимости составит тридцать и более процентов, Правительство Российской Федерации в целях стабилизации розничных цен на данные виды товаров имеет право устанавливать предельно допустимые розничные цены на них на территории такого субъекта Российской Федерации или территориях таких субъектов Российской Федерации на срок не более чем девяносто календарных дней.</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6. Перечень отдельных видов социально значимых продовольственных товаров первой необходимости и порядок установления предельно допустимых розничных цен на них устанавливаются Правительством Российской Федерации.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 </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Style w:val="a3"/>
          <w:rFonts w:ascii="Arial" w:hAnsi="Arial" w:cs="Arial"/>
          <w:color w:val="171717"/>
          <w:sz w:val="17"/>
          <w:szCs w:val="17"/>
        </w:rP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 </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 или путем предоставления запрашиваемой информации безвозмездно в четырнадцатидневный срок со дня получения соответствующего запроса.</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2. 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 или путем предоставления запрашиваемой информации безвозмездно в четырнадцатидневный срок со дня получения соответствующего запроса.</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lastRenderedPageBreak/>
        <w:t>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частями 4 и 5 статьи 8 настоящего Федерального закона положений.</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Размер вознаграждения не может превышать десять процентов от цены приобретенных продовольственных товаров.</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5. Не допускается выплата указанного в части 4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6. Включение в цену договора поставки продовольственных товаров иных видов вознаграждения за исполнение хозяйствующим субъектом, осуществляющим торговую деятельность, условий этого договора и (или) его изменение не допускаются.</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1) продовольственные товары, на которые срок годности установлен менее чем десять дней, подлежат оплате в срок не позднее чем десять рабочих дней со дня приемки таких товаров хозяйствующим субъектом, осуществляющим торговую деятельность;</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2) продовольственные товары, на которые срок годности установлен от десяти до тридцати дней включительно, подлежат оплате в срок не позднее чем тридцать календарных дней со дня приемки таких товаров хозяйствующим субъектом, осуществляющим торговую деятельность;</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пять календарных дней со дня приемки таких товаров хозяйствующим субъектом, осуществляющим торговую деятельность.</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8. Оплата продовольственных товаров в срок, установленный правилами, определенными частью 7 настоящей статьи, осуществляется при условии исполнения хозяйствующим субъектом, осуществляющим поставки продовольственных товаров, обязанности по передаче документов, относящихся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9. В случае, если хозяйствующий субъект, осуществляющий поставки продовольственных товаров, не передает или отказывается передать хозяйствующему субъекту, осуществляющему торговую деятельность, документы, которые он должен передать в соответствии с федеральными законами, иными нормативными правовыми актами Российской Федерации и договором поставки продовольственных товаров, сроки оплаты продовольственных товаров, установленные правилами, определенными частью 7 настоящей статьи, увеличиваются на период предоставления хозяйствующим субъектом, осуществляющим поставки продовольственных товаров, по запросу хозяйствующего субъекта, осуществляющего торговую деятельность, указанных документов.</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11. Услуги по рекламированию продовольственных товаров, маркетингу и подобные услуги, направленные на продвижение продовольственных товаров,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 xml:space="preserve">12. Включение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определенных </w:t>
      </w:r>
      <w:r>
        <w:rPr>
          <w:rFonts w:ascii="Arial" w:hAnsi="Arial" w:cs="Arial"/>
          <w:color w:val="171717"/>
          <w:sz w:val="17"/>
          <w:szCs w:val="17"/>
        </w:rPr>
        <w:lastRenderedPageBreak/>
        <w:t>действий, об оказании услуг по рекламированию товаров, маркетингу и подобных услуг, направленных на продвижение продовольственных товаров, а также заключение договора поставки продовольственных товаров путем понуждения к заключению договора возмездного оказания услуг, направленных на продвижение продовольственных товаров, не допускается.</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 </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Style w:val="a3"/>
          <w:rFonts w:ascii="Arial" w:hAnsi="Arial" w:cs="Arial"/>
          <w:color w:val="171717"/>
          <w:sz w:val="17"/>
          <w:szCs w:val="17"/>
        </w:rPr>
        <w:t>Статья 10. Особенности размещения нестационарных торговых объектов</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 </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2. Порядок включения в схему размещения, указанную в части 1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5. Схема размещения нестационарных торговых объектов и вносимые в нее изменения подлежат опубликованию в порядке,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 </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Style w:val="a3"/>
          <w:rFonts w:ascii="Arial" w:hAnsi="Arial" w:cs="Arial"/>
          <w:color w:val="171717"/>
          <w:sz w:val="17"/>
          <w:szCs w:val="17"/>
        </w:rPr>
        <w:t>Статья 11. Требования к организации ярмарок и продажи товаров (выполнения работ, оказания услуг) на них</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 </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 xml:space="preserve">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w:t>
      </w:r>
      <w:r>
        <w:rPr>
          <w:rFonts w:ascii="Arial" w:hAnsi="Arial" w:cs="Arial"/>
          <w:color w:val="171717"/>
          <w:sz w:val="17"/>
          <w:szCs w:val="17"/>
        </w:rPr>
        <w:lastRenderedPageBreak/>
        <w:t>(фермерских)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законодательством Российской Федерации о защите прав потребителей,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законодательством в области охраны окружающей среды, и других установленных федеральными законами требований.</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 </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Style w:val="a3"/>
          <w:rFonts w:ascii="Arial" w:hAnsi="Arial" w:cs="Arial"/>
          <w:color w:val="171717"/>
          <w:sz w:val="17"/>
          <w:szCs w:val="17"/>
        </w:rP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Style w:val="a3"/>
          <w:rFonts w:ascii="Arial" w:hAnsi="Arial" w:cs="Arial"/>
          <w:color w:val="171717"/>
          <w:sz w:val="17"/>
          <w:szCs w:val="17"/>
        </w:rPr>
        <w:t> </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2. Указанные в части 1 настоящей статьи соглашения заключаются в соответствии с требованиями антимонопольного законодательства Российской Федерации.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 </w:t>
      </w:r>
    </w:p>
    <w:p w:rsidR="007E1E16" w:rsidRDefault="007E1E16" w:rsidP="007E1E16">
      <w:pPr>
        <w:pStyle w:val="consplustitle"/>
        <w:spacing w:before="0" w:beforeAutospacing="0" w:after="0" w:afterAutospacing="0" w:line="270" w:lineRule="atLeast"/>
        <w:rPr>
          <w:rFonts w:ascii="Arial" w:hAnsi="Arial" w:cs="Arial"/>
          <w:color w:val="171717"/>
          <w:sz w:val="17"/>
          <w:szCs w:val="17"/>
        </w:rPr>
      </w:pPr>
      <w:r>
        <w:rPr>
          <w:rStyle w:val="a3"/>
          <w:rFonts w:ascii="Arial" w:hAnsi="Arial" w:cs="Arial"/>
          <w:color w:val="171717"/>
          <w:sz w:val="17"/>
          <w:szCs w:val="17"/>
        </w:rPr>
        <w:t>Глава 3. АНТИМОНОПОЛЬНОЕ РЕГУЛИРОВАНИЕ, ГОСУДАРСТВЕННЫЙ</w:t>
      </w:r>
    </w:p>
    <w:p w:rsidR="007E1E16" w:rsidRDefault="007E1E16" w:rsidP="007E1E16">
      <w:pPr>
        <w:pStyle w:val="consplustitle"/>
        <w:spacing w:before="0" w:beforeAutospacing="0" w:after="0" w:afterAutospacing="0" w:line="270" w:lineRule="atLeast"/>
        <w:rPr>
          <w:rFonts w:ascii="Arial" w:hAnsi="Arial" w:cs="Arial"/>
          <w:color w:val="171717"/>
          <w:sz w:val="17"/>
          <w:szCs w:val="17"/>
        </w:rPr>
      </w:pPr>
      <w:r>
        <w:rPr>
          <w:rStyle w:val="a3"/>
          <w:rFonts w:ascii="Arial" w:hAnsi="Arial" w:cs="Arial"/>
          <w:color w:val="171717"/>
          <w:sz w:val="17"/>
          <w:szCs w:val="17"/>
        </w:rPr>
        <w:t>КОНТРОЛЬ (НАДЗОР), МУНИЦИПАЛЬНЫЙ КОНТРОЛЬ В ОБЛАСТИ</w:t>
      </w:r>
    </w:p>
    <w:p w:rsidR="007E1E16" w:rsidRDefault="007E1E16" w:rsidP="007E1E16">
      <w:pPr>
        <w:pStyle w:val="consplustitle"/>
        <w:spacing w:before="0" w:beforeAutospacing="0" w:after="0" w:afterAutospacing="0" w:line="270" w:lineRule="atLeast"/>
        <w:rPr>
          <w:rFonts w:ascii="Arial" w:hAnsi="Arial" w:cs="Arial"/>
          <w:color w:val="171717"/>
          <w:sz w:val="17"/>
          <w:szCs w:val="17"/>
        </w:rPr>
      </w:pPr>
      <w:r>
        <w:rPr>
          <w:rStyle w:val="a3"/>
          <w:rFonts w:ascii="Arial" w:hAnsi="Arial" w:cs="Arial"/>
          <w:color w:val="171717"/>
          <w:sz w:val="17"/>
          <w:szCs w:val="17"/>
        </w:rPr>
        <w:t>ТОРГОВОЙ ДЕЯТЕЛЬНОСТИ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Style w:val="a3"/>
          <w:rFonts w:ascii="Arial" w:hAnsi="Arial" w:cs="Arial"/>
          <w:color w:val="171717"/>
          <w:sz w:val="17"/>
          <w:szCs w:val="17"/>
        </w:rP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 </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1) создавать дискриминационные условия, в том числе:</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а) создавать препятствия для доступа на товарный рынок или выхода из товарного рынка других хозяйствующих субъектов;</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б) нарушать установленный нормативными правовыми актами порядок ценообразования;</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2) навязывать контрагенту условия:</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а) о запрете на заключение хозяйствующим субъектом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б) об ответственности за неисполнение обязательства хозяйствующего субъекта о поставках продовольственных товаров на условиях, которые лучше, чем условия для других хозяйствующих субъектов, осуществляющих аналогичную деятельность;</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в)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г) о внесении хозяйствующим субъектом, осуществляющим поставки продовольственных товаров, платы за право поставок таких товаров хозяйствующему субъекту, осуществляющему торговую деятельность посредством организации торговой сети, в функционирующие или открываемые торговые объекты;</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lastRenderedPageBreak/>
        <w:t>д) о внесении хозяйствующим субъектом платы за изменение ассортимента продовольственных товаров;</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е)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ж) о возмещении хозяйствующим субъектом, осуществляющим поставки продовольственных товаров, убытков в связи с утратой или повреждением таких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з) о возмещении хозяйствующим субъектом затрат, не связанных с исполнением договора поставки продовольственных товаров и последующей продажей конкретной партии таких товаров;</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и) о возврате хозяйствующему субъекту, осуществившему поставки продовольственных товаров, таких товаров, не проданных по истечении определенного срока, за исключением случаев, если возврат таких товаров допускается или предусмотрен законодательством Российской Федерации;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к) иные условия, если они содержат существенные признаки условий, предусмотренных подпунктами "а" - "и" настоящего пункта;</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3) осуществлять оптовую торговлю с использованием договора комиссии или смешанного договора, содержащего элементы договора комиссии.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2. Хозяйствующий субъект вправе представить доказательства того, что его действия (бездействие), указанные в части 1 настоящей статьи (за исключением действий, указанных в пункте 2 части 1 настоящей статьи), могут быть признаны допустимыми в соответствии с требованиями части 1 статьи 13 Федерального закона от 26 июля 2006 года N 135-ФЗ "О защите конкуренции" (далее - Федеральный закон "О защите конкуренции").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Style w:val="a3"/>
          <w:rFonts w:ascii="Arial" w:hAnsi="Arial" w:cs="Arial"/>
          <w:color w:val="171717"/>
          <w:sz w:val="17"/>
          <w:szCs w:val="17"/>
        </w:rP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 </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2. Сделка, совершенная с нарушением предусмотренных частью 1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 </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Style w:val="a3"/>
          <w:rFonts w:ascii="Arial" w:hAnsi="Arial" w:cs="Arial"/>
          <w:color w:val="171717"/>
          <w:sz w:val="17"/>
          <w:szCs w:val="17"/>
        </w:rP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 </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 xml:space="preserve">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w:t>
      </w:r>
      <w:r>
        <w:rPr>
          <w:rFonts w:ascii="Arial" w:hAnsi="Arial" w:cs="Arial"/>
          <w:color w:val="171717"/>
          <w:sz w:val="17"/>
          <w:szCs w:val="17"/>
        </w:rPr>
        <w:lastRenderedPageBreak/>
        <w:t>государственной власти субъектов Российской Федерации, органам местного самоуправления в установленном порядке;</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 сертификация товаров, соответствие торговых объектов требованиям законодательства Российской Федерации);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4) принятие иных нормативных правовых актов, решений, предусматривающих:</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 </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Style w:val="a3"/>
          <w:rFonts w:ascii="Arial" w:hAnsi="Arial" w:cs="Arial"/>
          <w:color w:val="171717"/>
          <w:sz w:val="17"/>
          <w:szCs w:val="17"/>
        </w:rPr>
        <w:t>Статья 16. Государственный контроль (надзор) за соблюдением требований настоящего Федерального закона, муниципальный контроль в области торговой деятельности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 </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1. Государственный контроль (надзор) за соблюдением требований настоящего Федерального закона, муниципальный контроль в области торговой деятельности проводятся в соответствии с законодательством Российской Федерации.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2. Государственный контроль (надзор) за соблюдением антимонопольных правил и требований, предусмотренных статьями 13 -</w:t>
      </w:r>
      <w:r>
        <w:rPr>
          <w:rStyle w:val="apple-converted-space"/>
          <w:rFonts w:ascii="Arial" w:hAnsi="Arial" w:cs="Arial"/>
          <w:color w:val="171717"/>
          <w:sz w:val="17"/>
          <w:szCs w:val="17"/>
        </w:rPr>
        <w:t> </w:t>
      </w:r>
      <w:hyperlink r:id="rId4" w:anchor="P236" w:history="1">
        <w:r>
          <w:rPr>
            <w:rStyle w:val="a5"/>
            <w:rFonts w:ascii="Arial" w:hAnsi="Arial" w:cs="Arial"/>
            <w:color w:val="004267"/>
            <w:sz w:val="17"/>
            <w:szCs w:val="17"/>
          </w:rPr>
          <w:t>15</w:t>
        </w:r>
      </w:hyperlink>
      <w:r>
        <w:rPr>
          <w:rFonts w:ascii="Arial" w:hAnsi="Arial" w:cs="Arial"/>
          <w:color w:val="171717"/>
          <w:sz w:val="17"/>
          <w:szCs w:val="17"/>
        </w:rPr>
        <w:t>настоящего Федерального закона, проводится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в пределах полномочий, которые установлены антимонопольным законодательством Российской Федерации.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3. Федеральный орган исполнительной власти, осуществляющий функции по принятию нормативных правовых актов и контролю за соблюдением антимонопольного законодательства, и его территориальные органы при выявлении нарушений антимонопольных правил и требований, предусмотренных статьями 13 -</w:t>
      </w:r>
      <w:r>
        <w:rPr>
          <w:rStyle w:val="apple-converted-space"/>
          <w:rFonts w:ascii="Arial" w:hAnsi="Arial" w:cs="Arial"/>
          <w:color w:val="171717"/>
          <w:sz w:val="17"/>
          <w:szCs w:val="17"/>
        </w:rPr>
        <w:t> </w:t>
      </w:r>
      <w:hyperlink r:id="rId5" w:anchor="P236" w:history="1">
        <w:r>
          <w:rPr>
            <w:rStyle w:val="a5"/>
            <w:rFonts w:ascii="Arial" w:hAnsi="Arial" w:cs="Arial"/>
            <w:color w:val="004267"/>
            <w:sz w:val="17"/>
            <w:szCs w:val="17"/>
          </w:rPr>
          <w:t>15</w:t>
        </w:r>
      </w:hyperlink>
      <w:r>
        <w:rPr>
          <w:rStyle w:val="apple-converted-space"/>
          <w:rFonts w:ascii="Arial" w:hAnsi="Arial" w:cs="Arial"/>
          <w:color w:val="171717"/>
          <w:sz w:val="17"/>
          <w:szCs w:val="17"/>
        </w:rPr>
        <w:t> </w:t>
      </w:r>
      <w:r>
        <w:rPr>
          <w:rFonts w:ascii="Arial" w:hAnsi="Arial" w:cs="Arial"/>
          <w:color w:val="171717"/>
          <w:sz w:val="17"/>
          <w:szCs w:val="17"/>
        </w:rPr>
        <w:t>настоящего Федерального закона, принимают меры в соответствии с Федеральным законом "О защите конкуренции".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 </w:t>
      </w:r>
    </w:p>
    <w:p w:rsidR="007E1E16" w:rsidRDefault="007E1E16" w:rsidP="007E1E16">
      <w:pPr>
        <w:pStyle w:val="consplustitle"/>
        <w:spacing w:before="0" w:beforeAutospacing="0" w:after="0" w:afterAutospacing="0" w:line="270" w:lineRule="atLeast"/>
        <w:rPr>
          <w:rFonts w:ascii="Arial" w:hAnsi="Arial" w:cs="Arial"/>
          <w:color w:val="171717"/>
          <w:sz w:val="17"/>
          <w:szCs w:val="17"/>
        </w:rPr>
      </w:pPr>
      <w:r>
        <w:rPr>
          <w:rStyle w:val="a3"/>
          <w:rFonts w:ascii="Arial" w:hAnsi="Arial" w:cs="Arial"/>
          <w:color w:val="171717"/>
          <w:sz w:val="17"/>
          <w:szCs w:val="17"/>
        </w:rPr>
        <w:t>Глава 4. МЕРЫ ПО РАЗВИТИЮ ТОРГОВОЙ ДЕЯТЕЛЬНОСТИ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Style w:val="a3"/>
          <w:rFonts w:ascii="Arial" w:hAnsi="Arial" w:cs="Arial"/>
          <w:color w:val="171717"/>
          <w:sz w:val="17"/>
          <w:szCs w:val="17"/>
        </w:rPr>
        <w:t> </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Style w:val="a3"/>
          <w:rFonts w:ascii="Arial" w:hAnsi="Arial" w:cs="Arial"/>
          <w:color w:val="171717"/>
          <w:sz w:val="17"/>
          <w:szCs w:val="17"/>
        </w:rPr>
        <w:t>Статья 17. Мероприятия, содействующие развитию торговой деятельности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 </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lastRenderedPageBreak/>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3. Органы местного самоуправления в целях обеспечения жителей муниципального образования услугами торговли: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Style w:val="a3"/>
          <w:rFonts w:ascii="Arial" w:hAnsi="Arial" w:cs="Arial"/>
          <w:color w:val="171717"/>
          <w:sz w:val="17"/>
          <w:szCs w:val="17"/>
        </w:rPr>
        <w:t> </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Style w:val="a3"/>
          <w:rFonts w:ascii="Arial" w:hAnsi="Arial" w:cs="Arial"/>
          <w:color w:val="171717"/>
          <w:sz w:val="17"/>
          <w:szCs w:val="17"/>
        </w:rPr>
        <w:t>Статья 18. Региональные и муниципальные программы развития торговли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 </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3. В программах развития торговли определяются:</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3) объем и источники финансирования мероприятий, содействующих развитию торговой деятельности;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4) основные показатели эффективности реализации программ развития торговли;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5) порядок организации реализации программ развития торговли и порядок контроля за их реализацией.</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4. Основными показателями эффективности реализации программ развития торговли являются:</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1) достижение установленных нормативов минимальной обеспеченности населения площадью торговых объектов;</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2) повышение доступности товаров для населения;</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3) формирование торговой инфраструктуры с учетом видов и типов торговых объектов, форм и способов торговли, потребностей населения.</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 </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Style w:val="a3"/>
          <w:rFonts w:ascii="Arial" w:hAnsi="Arial" w:cs="Arial"/>
          <w:color w:val="171717"/>
          <w:sz w:val="17"/>
          <w:szCs w:val="17"/>
        </w:rPr>
        <w:lastRenderedPageBreak/>
        <w:t>Статья 19. Нормативы минимальной обеспеченности населения площадью торговых объектов</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 </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методикой расчета указанных нормативов, утвержденной Правительством Российской Федерации.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3. Нормативы минимальной обеспеченности населения площадью торговых объектов утверждаются в составе документов, определяющих направления социально-экономического развития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 </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Style w:val="a3"/>
          <w:rFonts w:ascii="Arial" w:hAnsi="Arial" w:cs="Arial"/>
          <w:color w:val="171717"/>
          <w:sz w:val="17"/>
          <w:szCs w:val="17"/>
        </w:rPr>
        <w:t>Статья 20. Информационное обеспечение в области торговой деятельности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 </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порядке, установленном Правительством Российской Федерации.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3. Обязательному размещению и не реже чем один раз в квартал обновлению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2) информация об издании нормативных правовых актов, регулирующих отношения в области торговой деятельности;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3) информация о среднем уровне цен на отдельные виды товаров;</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формой торгового реестра и порядком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 xml:space="preserve">5. Не допускается устанавливать плату за внесение в торговые реестры сведений, указанных в части 4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 субъектах и (или) осуществляемой ими торговой деятельности. Сведения, содержащиеся в торговых реестрах, предоставляются физическим лицам, юридическим лицам бесплатно в </w:t>
      </w:r>
      <w:r>
        <w:rPr>
          <w:rFonts w:ascii="Arial" w:hAnsi="Arial" w:cs="Arial"/>
          <w:color w:val="171717"/>
          <w:sz w:val="17"/>
          <w:szCs w:val="17"/>
        </w:rPr>
        <w:lastRenderedPageBreak/>
        <w:t>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6. 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 </w:t>
      </w:r>
    </w:p>
    <w:p w:rsidR="007E1E16" w:rsidRDefault="007E1E16" w:rsidP="007E1E16">
      <w:pPr>
        <w:pStyle w:val="consplustitle"/>
        <w:spacing w:before="0" w:beforeAutospacing="0" w:after="0" w:afterAutospacing="0" w:line="270" w:lineRule="atLeast"/>
        <w:rPr>
          <w:rFonts w:ascii="Arial" w:hAnsi="Arial" w:cs="Arial"/>
          <w:color w:val="171717"/>
          <w:sz w:val="17"/>
          <w:szCs w:val="17"/>
        </w:rPr>
      </w:pPr>
      <w:r>
        <w:rPr>
          <w:rStyle w:val="a3"/>
          <w:rFonts w:ascii="Arial" w:hAnsi="Arial" w:cs="Arial"/>
          <w:color w:val="171717"/>
          <w:sz w:val="17"/>
          <w:szCs w:val="17"/>
        </w:rPr>
        <w:t>Глава 5. ЗАКЛЮЧИТЕЛЬНЫЕ ПОЛОЖЕНИЯ</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Style w:val="a3"/>
          <w:rFonts w:ascii="Arial" w:hAnsi="Arial" w:cs="Arial"/>
          <w:color w:val="171717"/>
          <w:sz w:val="17"/>
          <w:szCs w:val="17"/>
        </w:rPr>
        <w:t> </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Style w:val="a3"/>
          <w:rFonts w:ascii="Arial" w:hAnsi="Arial" w:cs="Arial"/>
          <w:color w:val="171717"/>
          <w:sz w:val="17"/>
          <w:szCs w:val="17"/>
        </w:rPr>
        <w:t>Статья 21. Ответственность за нарушение настоящего Федерального закона</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 </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 </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Style w:val="a3"/>
          <w:rFonts w:ascii="Arial" w:hAnsi="Arial" w:cs="Arial"/>
          <w:color w:val="171717"/>
          <w:sz w:val="17"/>
          <w:szCs w:val="17"/>
        </w:rPr>
        <w:t>Статья 22. Заключительные положения</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 </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1. Настоящий Федеральный закон вступает в силу с 1 февраля 2010 года.</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3. Положения статьи 14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4. В отношении муниципальных районов и городских округов ограничение, предусмотренное статьей 14 настоящего Федерального закона, применяется с 1 июля 2010 года.</w:t>
      </w:r>
    </w:p>
    <w:p w:rsidR="007E1E16" w:rsidRDefault="007E1E16" w:rsidP="007E1E16">
      <w:pPr>
        <w:pStyle w:val="consplusnormal"/>
        <w:spacing w:before="0" w:beforeAutospacing="0" w:after="0" w:afterAutospacing="0" w:line="270" w:lineRule="atLeast"/>
        <w:rPr>
          <w:rFonts w:ascii="Arial" w:hAnsi="Arial" w:cs="Arial"/>
          <w:color w:val="171717"/>
          <w:sz w:val="17"/>
          <w:szCs w:val="17"/>
        </w:rPr>
      </w:pPr>
      <w:r>
        <w:rPr>
          <w:rFonts w:ascii="Arial" w:hAnsi="Arial" w:cs="Arial"/>
          <w:color w:val="171717"/>
          <w:sz w:val="17"/>
          <w:szCs w:val="17"/>
        </w:rPr>
        <w:t>5. До 1 января 2017 года указанное в части 2 статьи 6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rsidR="00000000" w:rsidRDefault="007E1E16"/>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E1E16"/>
    <w:rsid w:val="007E1E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7E1E1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7E1E16"/>
    <w:rPr>
      <w:b/>
      <w:bCs/>
    </w:rPr>
  </w:style>
  <w:style w:type="paragraph" w:customStyle="1" w:styleId="consplusnormal">
    <w:name w:val="consplusnormal"/>
    <w:basedOn w:val="a"/>
    <w:rsid w:val="007E1E1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7E1E16"/>
    <w:rPr>
      <w:i/>
      <w:iCs/>
    </w:rPr>
  </w:style>
  <w:style w:type="character" w:customStyle="1" w:styleId="apple-converted-space">
    <w:name w:val="apple-converted-space"/>
    <w:basedOn w:val="a0"/>
    <w:rsid w:val="007E1E16"/>
  </w:style>
  <w:style w:type="character" w:styleId="a5">
    <w:name w:val="Hyperlink"/>
    <w:basedOn w:val="a0"/>
    <w:uiPriority w:val="99"/>
    <w:semiHidden/>
    <w:unhideWhenUsed/>
    <w:rsid w:val="007E1E16"/>
    <w:rPr>
      <w:color w:val="0000FF"/>
      <w:u w:val="single"/>
    </w:rPr>
  </w:style>
</w:styles>
</file>

<file path=word/webSettings.xml><?xml version="1.0" encoding="utf-8"?>
<w:webSettings xmlns:r="http://schemas.openxmlformats.org/officeDocument/2006/relationships" xmlns:w="http://schemas.openxmlformats.org/wordprocessingml/2006/main">
  <w:divs>
    <w:div w:id="195508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ratovmer.ru/zashitapravpotreb/zakonpravpotreb/zakonyrf/" TargetMode="External"/><Relationship Id="rId4" Type="http://schemas.openxmlformats.org/officeDocument/2006/relationships/hyperlink" Target="http://www.saratovmer.ru/zashitapravpotreb/zakonpravpotreb/zakonyr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7861</Words>
  <Characters>44811</Characters>
  <Application>Microsoft Office Word</Application>
  <DocSecurity>0</DocSecurity>
  <Lines>373</Lines>
  <Paragraphs>105</Paragraphs>
  <ScaleCrop>false</ScaleCrop>
  <Company>Microsoft</Company>
  <LinksUpToDate>false</LinksUpToDate>
  <CharactersWithSpaces>52567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2015-10-31T10:27:00Z</dcterms:created>
  <dcterms:modified xsi:type="dcterms:W3CDTF">2015-10-31T10:27:00Z</dcterms:modified>
</cp:coreProperties>
</file>